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4340" w:rsidRPr="00344340" w:rsidRDefault="00344340" w:rsidP="00344340">
      <w:pPr>
        <w:spacing w:after="45"/>
        <w:rPr>
          <w:rFonts w:ascii=".AppleSystemUIFont" w:hAnsi=".AppleSystemUIFont" w:cs="Times New Roman"/>
          <w:sz w:val="46"/>
          <w:szCs w:val="46"/>
        </w:rPr>
      </w:pPr>
    </w:p>
    <w:p w:rsidR="00344340" w:rsidRPr="00344340" w:rsidRDefault="00344340" w:rsidP="00344340">
      <w:pPr>
        <w:rPr>
          <w:rFonts w:cs="Times New Roman"/>
          <w:b/>
          <w:bCs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b/>
          <w:bCs/>
          <w:sz w:val="24"/>
          <w:szCs w:val="24"/>
        </w:rPr>
      </w:pPr>
      <w:r w:rsidRPr="00344340">
        <w:rPr>
          <w:rFonts w:cs="Times New Roman"/>
          <w:b/>
          <w:bCs/>
          <w:sz w:val="24"/>
          <w:szCs w:val="24"/>
        </w:rPr>
        <w:t>Teacher’s Guide</w:t>
      </w:r>
    </w:p>
    <w:p w:rsidR="00344340" w:rsidRPr="00344340" w:rsidRDefault="00344340" w:rsidP="00344340">
      <w:pPr>
        <w:rPr>
          <w:rFonts w:cs="Times New Roman"/>
          <w:b/>
          <w:bCs/>
          <w:sz w:val="24"/>
          <w:szCs w:val="24"/>
        </w:rPr>
      </w:pPr>
    </w:p>
    <w:p w:rsidR="00344340" w:rsidRPr="00344340" w:rsidRDefault="00911A30" w:rsidP="00344340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‘</w:t>
      </w:r>
      <w:r w:rsidR="00344340">
        <w:rPr>
          <w:rFonts w:cs="Times New Roman"/>
          <w:b/>
          <w:bCs/>
          <w:sz w:val="24"/>
          <w:szCs w:val="24"/>
        </w:rPr>
        <w:t xml:space="preserve">Rounders Values: </w:t>
      </w:r>
      <w:r>
        <w:rPr>
          <w:rFonts w:cs="Times New Roman"/>
          <w:b/>
          <w:bCs/>
          <w:sz w:val="24"/>
          <w:szCs w:val="24"/>
        </w:rPr>
        <w:t>Pat, Present and future’</w:t>
      </w:r>
    </w:p>
    <w:p w:rsidR="00344340" w:rsidRPr="00344340" w:rsidRDefault="00344340" w:rsidP="00344340">
      <w:pPr>
        <w:rPr>
          <w:rFonts w:cs="Times New Roman"/>
          <w:b/>
          <w:bCs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b/>
          <w:bCs/>
          <w:sz w:val="24"/>
          <w:szCs w:val="24"/>
        </w:rPr>
      </w:pPr>
      <w:r w:rsidRPr="00344340">
        <w:rPr>
          <w:rFonts w:cs="Times New Roman"/>
          <w:b/>
          <w:bCs/>
          <w:sz w:val="24"/>
          <w:szCs w:val="24"/>
        </w:rPr>
        <w:t>Overview 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This flexible resource</w:t>
      </w:r>
      <w:r w:rsidR="00B51CAD">
        <w:rPr>
          <w:rFonts w:cs="Times New Roman"/>
          <w:sz w:val="24"/>
          <w:szCs w:val="24"/>
        </w:rPr>
        <w:t xml:space="preserve"> for Key Stage 2 or 3</w:t>
      </w:r>
      <w:r w:rsidRPr="00344340">
        <w:rPr>
          <w:rFonts w:cs="Times New Roman"/>
          <w:sz w:val="24"/>
          <w:szCs w:val="24"/>
        </w:rPr>
        <w:t xml:space="preserve"> uses the </w:t>
      </w:r>
      <w:r w:rsidR="00911A30">
        <w:rPr>
          <w:rFonts w:cs="Times New Roman"/>
          <w:sz w:val="24"/>
          <w:szCs w:val="24"/>
        </w:rPr>
        <w:t xml:space="preserve">inspirational </w:t>
      </w:r>
      <w:r w:rsidRPr="00344340">
        <w:rPr>
          <w:rFonts w:cs="Times New Roman"/>
          <w:sz w:val="24"/>
          <w:szCs w:val="24"/>
        </w:rPr>
        <w:t>story o</w:t>
      </w:r>
      <w:r w:rsidR="00911A30">
        <w:rPr>
          <w:rFonts w:cs="Times New Roman"/>
          <w:sz w:val="24"/>
          <w:szCs w:val="24"/>
        </w:rPr>
        <w:t>f</w:t>
      </w:r>
      <w:r w:rsidR="00574432">
        <w:rPr>
          <w:rFonts w:cs="Times New Roman"/>
          <w:sz w:val="24"/>
          <w:szCs w:val="24"/>
        </w:rPr>
        <w:t xml:space="preserve"> Dana Abdulkarim</w:t>
      </w:r>
      <w:r w:rsidRPr="00344340">
        <w:rPr>
          <w:rFonts w:cs="Times New Roman"/>
          <w:sz w:val="24"/>
          <w:szCs w:val="24"/>
        </w:rPr>
        <w:t xml:space="preserve">, </w:t>
      </w:r>
      <w:r w:rsidR="00911A30">
        <w:rPr>
          <w:rFonts w:cs="Times New Roman"/>
          <w:sz w:val="24"/>
          <w:szCs w:val="24"/>
        </w:rPr>
        <w:t xml:space="preserve">the first </w:t>
      </w:r>
      <w:r w:rsidR="000A74CF">
        <w:rPr>
          <w:rFonts w:cs="Times New Roman"/>
          <w:sz w:val="24"/>
          <w:szCs w:val="24"/>
        </w:rPr>
        <w:t xml:space="preserve">British </w:t>
      </w:r>
      <w:r w:rsidR="00911A30">
        <w:rPr>
          <w:rFonts w:cs="Times New Roman"/>
          <w:sz w:val="24"/>
          <w:szCs w:val="24"/>
        </w:rPr>
        <w:t xml:space="preserve">Muslim women to captain and coach her </w:t>
      </w:r>
      <w:r w:rsidR="000A74CF">
        <w:rPr>
          <w:rFonts w:cs="Times New Roman"/>
          <w:sz w:val="24"/>
          <w:szCs w:val="24"/>
        </w:rPr>
        <w:t xml:space="preserve">country in any sport, </w:t>
      </w:r>
      <w:r w:rsidRPr="00344340">
        <w:rPr>
          <w:rFonts w:cs="Times New Roman"/>
          <w:sz w:val="24"/>
          <w:szCs w:val="24"/>
        </w:rPr>
        <w:t>to creatively explore a series of specific and wider themes in relation to the history and development of</w:t>
      </w:r>
      <w:r w:rsidR="00494EBE">
        <w:rPr>
          <w:rFonts w:cs="Times New Roman"/>
          <w:sz w:val="24"/>
          <w:szCs w:val="24"/>
        </w:rPr>
        <w:t xml:space="preserve"> Rounders England’s </w:t>
      </w:r>
      <w:r w:rsidR="00602B67">
        <w:rPr>
          <w:rFonts w:cs="Times New Roman"/>
          <w:sz w:val="24"/>
          <w:szCs w:val="24"/>
        </w:rPr>
        <w:t>focus on Rounders Values as a key element of their education</w:t>
      </w:r>
      <w:r w:rsidR="00F01C70">
        <w:rPr>
          <w:rFonts w:cs="Times New Roman"/>
          <w:sz w:val="24"/>
          <w:szCs w:val="24"/>
        </w:rPr>
        <w:t xml:space="preserve"> </w:t>
      </w:r>
      <w:r w:rsidR="00602B67">
        <w:rPr>
          <w:rFonts w:cs="Times New Roman"/>
          <w:sz w:val="24"/>
          <w:szCs w:val="24"/>
        </w:rPr>
        <w:t>strategy</w:t>
      </w:r>
      <w:r w:rsidR="00F01C70">
        <w:rPr>
          <w:rFonts w:cs="Times New Roman"/>
          <w:sz w:val="24"/>
          <w:szCs w:val="24"/>
        </w:rPr>
        <w:t xml:space="preserve"> and ‘Connecting People through Rounders’ </w:t>
      </w:r>
      <w:r w:rsidR="000A450A">
        <w:rPr>
          <w:rFonts w:cs="Times New Roman"/>
          <w:sz w:val="24"/>
          <w:szCs w:val="24"/>
        </w:rPr>
        <w:t>mission</w:t>
      </w:r>
      <w:r w:rsidR="00602B67">
        <w:rPr>
          <w:rFonts w:cs="Times New Roman"/>
          <w:sz w:val="24"/>
          <w:szCs w:val="24"/>
        </w:rPr>
        <w:t xml:space="preserve">. </w:t>
      </w:r>
      <w:r w:rsidR="000A7A31">
        <w:rPr>
          <w:rFonts w:cs="Times New Roman"/>
          <w:sz w:val="24"/>
          <w:szCs w:val="24"/>
        </w:rPr>
        <w:t>These</w:t>
      </w:r>
      <w:r w:rsidR="00A34EAD">
        <w:rPr>
          <w:rFonts w:cs="Times New Roman"/>
          <w:sz w:val="24"/>
          <w:szCs w:val="24"/>
        </w:rPr>
        <w:t xml:space="preserve"> include: </w:t>
      </w:r>
      <w:r w:rsidR="000A7A31">
        <w:rPr>
          <w:rFonts w:cs="Times New Roman"/>
          <w:sz w:val="24"/>
          <w:szCs w:val="24"/>
        </w:rPr>
        <w:t xml:space="preserve"> </w:t>
      </w:r>
    </w:p>
    <w:p w:rsidR="00344340" w:rsidRPr="00344340" w:rsidRDefault="00344340" w:rsidP="000A7A31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Equality and diversity</w:t>
      </w:r>
    </w:p>
    <w:p w:rsidR="00344340" w:rsidRDefault="00344340" w:rsidP="00344340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Personal development</w:t>
      </w:r>
    </w:p>
    <w:p w:rsidR="000A7A31" w:rsidRDefault="000A7A31" w:rsidP="00344340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Leadership and inspiration</w:t>
      </w:r>
    </w:p>
    <w:p w:rsidR="007D12A5" w:rsidRPr="00344340" w:rsidRDefault="007D12A5" w:rsidP="00344340"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Rounders Values </w:t>
      </w:r>
      <w:r w:rsidR="005F0EF9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5F0EF9">
        <w:rPr>
          <w:rFonts w:cs="Times New Roman"/>
          <w:sz w:val="24"/>
          <w:szCs w:val="24"/>
        </w:rPr>
        <w:t>Fair play, Respect, Teamwork, winning Behaviours and Teamwork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As such it is designed to be used flexibly by schools in relation to: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The delivery of Assembly themes</w:t>
      </w:r>
    </w:p>
    <w:p w:rsidR="00344340" w:rsidRPr="00344340" w:rsidRDefault="00344340" w:rsidP="00344340">
      <w:pPr>
        <w:numPr>
          <w:ilvl w:val="0"/>
          <w:numId w:val="2"/>
        </w:num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Tutorial and personal development programme content</w:t>
      </w:r>
    </w:p>
    <w:p w:rsidR="00344340" w:rsidRDefault="007D12A5" w:rsidP="00344340"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 </w:t>
      </w:r>
      <w:r w:rsidR="00344340" w:rsidRPr="00344340">
        <w:rPr>
          <w:rFonts w:cs="Times New Roman"/>
          <w:sz w:val="24"/>
          <w:szCs w:val="24"/>
        </w:rPr>
        <w:t xml:space="preserve">curriculum </w:t>
      </w:r>
      <w:r w:rsidR="00383872">
        <w:rPr>
          <w:rFonts w:cs="Times New Roman"/>
          <w:sz w:val="24"/>
          <w:szCs w:val="24"/>
        </w:rPr>
        <w:t xml:space="preserve">delivery and </w:t>
      </w:r>
      <w:r w:rsidR="00344340" w:rsidRPr="00344340">
        <w:rPr>
          <w:rFonts w:cs="Times New Roman"/>
          <w:sz w:val="24"/>
          <w:szCs w:val="24"/>
        </w:rPr>
        <w:t>enrichment</w:t>
      </w:r>
    </w:p>
    <w:p w:rsidR="003C559D" w:rsidRPr="00344340" w:rsidRDefault="003C559D" w:rsidP="00344340"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History and RE curriculum enrichment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 xml:space="preserve">The PowerPoint therefore combines core and extension slides to offer a variety of pathways through the topic, depending on the </w:t>
      </w:r>
      <w:r w:rsidR="0073237F">
        <w:rPr>
          <w:rFonts w:cs="Times New Roman"/>
          <w:sz w:val="24"/>
          <w:szCs w:val="24"/>
        </w:rPr>
        <w:t xml:space="preserve">Key Stage, </w:t>
      </w:r>
      <w:r w:rsidRPr="00344340">
        <w:rPr>
          <w:rFonts w:cs="Times New Roman"/>
          <w:sz w:val="24"/>
          <w:szCs w:val="24"/>
        </w:rPr>
        <w:t>learning context or desired focus and emphases. 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b/>
          <w:bCs/>
          <w:sz w:val="24"/>
          <w:szCs w:val="24"/>
        </w:rPr>
      </w:pPr>
      <w:r w:rsidRPr="00344340">
        <w:rPr>
          <w:rFonts w:cs="Times New Roman"/>
          <w:b/>
          <w:bCs/>
          <w:sz w:val="24"/>
          <w:szCs w:val="24"/>
        </w:rPr>
        <w:t>Aims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To promote interest and excitement in the development of</w:t>
      </w:r>
      <w:r w:rsidR="007B5B64">
        <w:rPr>
          <w:rFonts w:cs="Times New Roman"/>
          <w:sz w:val="24"/>
          <w:szCs w:val="24"/>
        </w:rPr>
        <w:t xml:space="preserve"> Rounders </w:t>
      </w:r>
      <w:r w:rsidRPr="00344340">
        <w:rPr>
          <w:rFonts w:cs="Times New Roman"/>
          <w:sz w:val="24"/>
          <w:szCs w:val="24"/>
        </w:rPr>
        <w:t>through</w:t>
      </w:r>
      <w:r w:rsidR="00A84925">
        <w:rPr>
          <w:rFonts w:cs="Times New Roman"/>
          <w:sz w:val="24"/>
          <w:szCs w:val="24"/>
        </w:rPr>
        <w:t xml:space="preserve"> an inspirational</w:t>
      </w:r>
      <w:r w:rsidRPr="00344340">
        <w:rPr>
          <w:rFonts w:cs="Times New Roman"/>
          <w:sz w:val="24"/>
          <w:szCs w:val="24"/>
        </w:rPr>
        <w:t xml:space="preserve"> personal stor</w:t>
      </w:r>
      <w:r w:rsidR="00A84925">
        <w:rPr>
          <w:rFonts w:cs="Times New Roman"/>
          <w:sz w:val="24"/>
          <w:szCs w:val="24"/>
        </w:rPr>
        <w:t>y</w:t>
      </w:r>
      <w:r w:rsidRPr="00344340">
        <w:rPr>
          <w:rFonts w:cs="Times New Roman"/>
          <w:sz w:val="24"/>
          <w:szCs w:val="24"/>
        </w:rPr>
        <w:t xml:space="preserve">, linked to increased participation </w:t>
      </w:r>
    </w:p>
    <w:p w:rsidR="00344340" w:rsidRPr="00344340" w:rsidRDefault="00344340" w:rsidP="00344340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To link an understanding of the development of the game to wider themes relating to equality and diversity</w:t>
      </w:r>
      <w:r w:rsidR="0071283F">
        <w:rPr>
          <w:rFonts w:cs="Times New Roman"/>
          <w:sz w:val="24"/>
          <w:szCs w:val="24"/>
        </w:rPr>
        <w:t xml:space="preserve">, </w:t>
      </w:r>
      <w:r w:rsidR="00DC65D8">
        <w:rPr>
          <w:rFonts w:cs="Times New Roman"/>
          <w:sz w:val="24"/>
          <w:szCs w:val="24"/>
        </w:rPr>
        <w:t>leadership and inspiration</w:t>
      </w:r>
      <w:r w:rsidRPr="00344340">
        <w:rPr>
          <w:rFonts w:cs="Times New Roman"/>
          <w:sz w:val="24"/>
          <w:szCs w:val="24"/>
        </w:rPr>
        <w:t> </w:t>
      </w:r>
    </w:p>
    <w:p w:rsidR="00344340" w:rsidRPr="00344340" w:rsidRDefault="00344340" w:rsidP="00344340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 xml:space="preserve">To introduce </w:t>
      </w:r>
      <w:r w:rsidR="0071283F">
        <w:rPr>
          <w:rFonts w:cs="Times New Roman"/>
          <w:sz w:val="24"/>
          <w:szCs w:val="24"/>
        </w:rPr>
        <w:t xml:space="preserve">Rounders </w:t>
      </w:r>
      <w:r w:rsidRPr="00344340">
        <w:rPr>
          <w:rFonts w:cs="Times New Roman"/>
          <w:sz w:val="24"/>
          <w:szCs w:val="24"/>
        </w:rPr>
        <w:t>Values and their relevance to wider learning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b/>
          <w:bCs/>
          <w:sz w:val="24"/>
          <w:szCs w:val="24"/>
        </w:rPr>
      </w:pPr>
      <w:r w:rsidRPr="00344340">
        <w:rPr>
          <w:rFonts w:cs="Times New Roman"/>
          <w:b/>
          <w:bCs/>
          <w:sz w:val="24"/>
          <w:szCs w:val="24"/>
        </w:rPr>
        <w:t>Guide to PowerPoint use and application 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  <w:r w:rsidRPr="00344340">
        <w:rPr>
          <w:rFonts w:cs="Times New Roman"/>
          <w:sz w:val="24"/>
          <w:szCs w:val="24"/>
        </w:rPr>
        <w:t>Slides can be selected, edited or deleted based on context of delivery.  </w:t>
      </w: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8156"/>
      </w:tblGrid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 1</w:t>
            </w:r>
          </w:p>
        </w:tc>
        <w:tc>
          <w:tcPr>
            <w:tcW w:w="0" w:type="auto"/>
          </w:tcPr>
          <w:p w:rsidR="00344340" w:rsidRPr="00344340" w:rsidRDefault="00344340" w:rsidP="00344340">
            <w:pPr>
              <w:rPr>
                <w:rFonts w:eastAsia="Times New Roman" w:cs="Arial"/>
                <w:color w:val="202124"/>
                <w:sz w:val="24"/>
                <w:szCs w:val="24"/>
              </w:rPr>
            </w:pPr>
            <w:r w:rsidRPr="00344340">
              <w:rPr>
                <w:rFonts w:eastAsia="Times New Roman" w:cs="Arial"/>
                <w:color w:val="202124"/>
                <w:sz w:val="24"/>
                <w:szCs w:val="24"/>
              </w:rPr>
              <w:t xml:space="preserve">Title Slide. Emphasise </w:t>
            </w:r>
            <w:r w:rsidR="00376121">
              <w:rPr>
                <w:rFonts w:eastAsia="Times New Roman" w:cs="Arial"/>
                <w:color w:val="202124"/>
                <w:sz w:val="24"/>
                <w:szCs w:val="24"/>
              </w:rPr>
              <w:t>Values and development over time as themes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 2</w:t>
            </w:r>
          </w:p>
        </w:tc>
        <w:tc>
          <w:tcPr>
            <w:tcW w:w="0" w:type="auto"/>
          </w:tcPr>
          <w:p w:rsidR="00344340" w:rsidRPr="00344340" w:rsidRDefault="00FC163D" w:rsidP="00344340">
            <w:pPr>
              <w:rPr>
                <w:rFonts w:eastAsia="Times New Roman" w:cs="Arial"/>
                <w:color w:val="202124"/>
                <w:sz w:val="24"/>
                <w:szCs w:val="24"/>
              </w:rPr>
            </w:pPr>
            <w:r>
              <w:rPr>
                <w:rFonts w:eastAsia="Times New Roman" w:cs="Arial"/>
                <w:color w:val="202124"/>
                <w:sz w:val="24"/>
                <w:szCs w:val="24"/>
              </w:rPr>
              <w:t xml:space="preserve">Introduces Dana </w:t>
            </w:r>
            <w:r w:rsidR="0062681D">
              <w:rPr>
                <w:rFonts w:eastAsia="Times New Roman" w:cs="Arial"/>
                <w:color w:val="202124"/>
                <w:sz w:val="24"/>
                <w:szCs w:val="24"/>
              </w:rPr>
              <w:t>Abdulkarim</w:t>
            </w:r>
            <w:r w:rsidR="00073F74">
              <w:rPr>
                <w:rFonts w:eastAsia="Times New Roman" w:cs="Arial"/>
                <w:color w:val="202124"/>
                <w:sz w:val="24"/>
                <w:szCs w:val="24"/>
              </w:rPr>
              <w:t xml:space="preserve">, whose inspirational story provides the stimulus for the resource </w:t>
            </w:r>
            <w:r w:rsidR="00AE0A5F">
              <w:rPr>
                <w:rFonts w:eastAsia="Times New Roman" w:cs="Arial"/>
                <w:color w:val="202124"/>
                <w:sz w:val="24"/>
                <w:szCs w:val="24"/>
              </w:rPr>
              <w:t>and link to rounders Values.</w:t>
            </w:r>
          </w:p>
          <w:p w:rsidR="00344340" w:rsidRPr="00344340" w:rsidRDefault="00344340" w:rsidP="00344340">
            <w:pPr>
              <w:rPr>
                <w:sz w:val="24"/>
                <w:szCs w:val="24"/>
              </w:rPr>
            </w:pP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lastRenderedPageBreak/>
              <w:t>Slide 3</w:t>
            </w:r>
          </w:p>
        </w:tc>
        <w:tc>
          <w:tcPr>
            <w:tcW w:w="0" w:type="auto"/>
          </w:tcPr>
          <w:p w:rsidR="00344340" w:rsidRDefault="00F53E74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Bradford Literature Festival Inspiring Women </w:t>
            </w:r>
            <w:r w:rsidR="00343578">
              <w:rPr>
                <w:sz w:val="24"/>
                <w:szCs w:val="24"/>
              </w:rPr>
              <w:t>video featuring Dana</w:t>
            </w:r>
            <w:r w:rsidR="00FD75CC">
              <w:rPr>
                <w:sz w:val="24"/>
                <w:szCs w:val="24"/>
              </w:rPr>
              <w:t xml:space="preserve"> – 7</w:t>
            </w:r>
            <w:r w:rsidR="005D00B8">
              <w:rPr>
                <w:sz w:val="24"/>
                <w:szCs w:val="24"/>
              </w:rPr>
              <w:t xml:space="preserve">:43 minutes. </w:t>
            </w:r>
          </w:p>
          <w:p w:rsidR="00073F74" w:rsidRDefault="00073F74" w:rsidP="00344340">
            <w:pPr>
              <w:rPr>
                <w:sz w:val="24"/>
                <w:szCs w:val="24"/>
              </w:rPr>
            </w:pPr>
          </w:p>
          <w:p w:rsidR="00D90B6D" w:rsidRDefault="003E74E1" w:rsidP="00D90B6D">
            <w:pPr>
              <w:divId w:val="194596200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 </w:t>
            </w:r>
            <w:r w:rsidR="00D90B6D" w:rsidRPr="00D90B6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2000 </w:t>
            </w:r>
            <w:r w:rsidR="00073F74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Dana </w:t>
            </w:r>
            <w:r w:rsidR="00D90B6D" w:rsidRPr="00D90B6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became the first Muslim and Arab woman to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represent</w:t>
            </w:r>
            <w:r w:rsidR="00D90B6D" w:rsidRPr="00D90B6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2C8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and subsequently coach </w:t>
            </w:r>
            <w:r w:rsidR="00D90B6D" w:rsidRPr="00D90B6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England internationally and in 2008 was the first </w:t>
            </w:r>
            <w:proofErr w:type="spellStart"/>
            <w:r w:rsidR="00D90B6D" w:rsidRPr="00D90B6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Hijabi</w:t>
            </w:r>
            <w:proofErr w:type="spellEnd"/>
            <w:r w:rsidR="00D90B6D" w:rsidRPr="00D90B6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Muslim woman to qualify to teach PE in England.</w:t>
            </w:r>
            <w:r w:rsidR="00152C8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She is currently an Assistant Headteacher. </w:t>
            </w:r>
          </w:p>
          <w:p w:rsidR="007E2494" w:rsidRDefault="007E2494" w:rsidP="00D90B6D">
            <w:pPr>
              <w:divId w:val="194596200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2494" w:rsidRDefault="00775B79" w:rsidP="00D90B6D">
            <w:pPr>
              <w:divId w:val="194596200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Further reflections on her career</w:t>
            </w:r>
            <w:r w:rsidR="00DA2AD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vision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and values </w:t>
            </w:r>
            <w:r w:rsidR="00DA2AD3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can be found in the extended interview via the link below:</w:t>
            </w:r>
          </w:p>
          <w:p w:rsidR="008B4603" w:rsidRDefault="008B4603" w:rsidP="00D90B6D">
            <w:pPr>
              <w:divId w:val="1945962001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4603" w:rsidRDefault="00574432" w:rsidP="00D90B6D">
            <w:pPr>
              <w:divId w:val="1945962001"/>
              <w:rPr>
                <w:rFonts w:eastAsia="Times New Roman" w:cs="Times New Roman"/>
                <w:sz w:val="24"/>
                <w:szCs w:val="24"/>
              </w:rPr>
            </w:pPr>
            <w:hyperlink r:id="rId5" w:history="1">
              <w:r w:rsidR="00255FBD" w:rsidRPr="00591D2A">
                <w:rPr>
                  <w:rStyle w:val="Hyperlink"/>
                  <w:rFonts w:eastAsia="Times New Roman" w:cs="Times New Roman"/>
                  <w:sz w:val="24"/>
                  <w:szCs w:val="24"/>
                </w:rPr>
                <w:t>https://en-gb.facebook.com/RMBCEvents/videos/women-of-hope-millie-bright-dana-abdulkarim/735847707323301/</w:t>
              </w:r>
            </w:hyperlink>
          </w:p>
          <w:p w:rsidR="00255FBD" w:rsidRDefault="00255FBD" w:rsidP="00D90B6D">
            <w:pPr>
              <w:divId w:val="1945962001"/>
              <w:rPr>
                <w:rFonts w:eastAsia="Times New Roman" w:cs="Times New Roman"/>
                <w:sz w:val="24"/>
                <w:szCs w:val="24"/>
              </w:rPr>
            </w:pPr>
          </w:p>
          <w:p w:rsidR="00255FBD" w:rsidRPr="00D90B6D" w:rsidRDefault="00255FBD" w:rsidP="00D90B6D">
            <w:pPr>
              <w:divId w:val="194596200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Can progress to any combination/sequence of slides 4, 5 and 6 depending on context.</w:t>
            </w:r>
          </w:p>
          <w:p w:rsidR="00D90B6D" w:rsidRPr="00344340" w:rsidRDefault="00D90B6D" w:rsidP="00344340">
            <w:pPr>
              <w:rPr>
                <w:sz w:val="24"/>
                <w:szCs w:val="24"/>
              </w:rPr>
            </w:pP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</w:t>
            </w:r>
            <w:r w:rsidR="00FB4C6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</w:tcPr>
          <w:p w:rsidR="00344340" w:rsidRPr="00344340" w:rsidRDefault="00FB4C64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Provides a series of ‘Think’ reflection questions based on </w:t>
            </w:r>
            <w:r w:rsidR="00AE0A5F">
              <w:rPr>
                <w:sz w:val="24"/>
                <w:szCs w:val="24"/>
              </w:rPr>
              <w:t xml:space="preserve">the stimulus video. </w:t>
            </w:r>
            <w:r w:rsidR="009E4265">
              <w:rPr>
                <w:sz w:val="24"/>
                <w:szCs w:val="24"/>
              </w:rPr>
              <w:t>Opportunity to emphasise themes of diversity</w:t>
            </w:r>
            <w:r w:rsidR="00047B1C">
              <w:rPr>
                <w:sz w:val="24"/>
                <w:szCs w:val="24"/>
              </w:rPr>
              <w:t>, equality and inclusivity</w:t>
            </w:r>
            <w:r w:rsidR="004B20E2">
              <w:rPr>
                <w:sz w:val="24"/>
                <w:szCs w:val="24"/>
              </w:rPr>
              <w:t xml:space="preserve"> – and</w:t>
            </w:r>
            <w:r w:rsidR="009F4C78">
              <w:rPr>
                <w:sz w:val="24"/>
                <w:szCs w:val="24"/>
              </w:rPr>
              <w:t xml:space="preserve"> a</w:t>
            </w:r>
            <w:r w:rsidR="004B20E2">
              <w:rPr>
                <w:sz w:val="24"/>
                <w:szCs w:val="24"/>
              </w:rPr>
              <w:t xml:space="preserve"> potentially faith-based</w:t>
            </w:r>
            <w:r w:rsidR="009F4C78">
              <w:rPr>
                <w:sz w:val="24"/>
                <w:szCs w:val="24"/>
              </w:rPr>
              <w:t xml:space="preserve"> enquiry.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 xml:space="preserve">Slide </w:t>
            </w:r>
            <w:r w:rsidR="002F0E4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44340" w:rsidRPr="00344340" w:rsidRDefault="00C5010D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</w:t>
            </w:r>
            <w:r w:rsidR="0020784D">
              <w:rPr>
                <w:sz w:val="24"/>
                <w:szCs w:val="24"/>
              </w:rPr>
              <w:t>hinking Further’ extension</w:t>
            </w:r>
            <w:r w:rsidR="0036127E">
              <w:rPr>
                <w:sz w:val="24"/>
                <w:szCs w:val="24"/>
              </w:rPr>
              <w:t xml:space="preserve">/development activity following from Slide 4 or as an alternative to it. 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</w:t>
            </w:r>
            <w:r w:rsidR="00B92B0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0" w:type="auto"/>
          </w:tcPr>
          <w:p w:rsidR="00344340" w:rsidRPr="00344340" w:rsidRDefault="00B92B02" w:rsidP="00344340">
            <w:pPr>
              <w:outlineLvl w:val="0"/>
              <w:rPr>
                <w:rFonts w:eastAsia="Times New Roman" w:cs="Tahoma"/>
                <w:color w:val="000000"/>
                <w:kern w:val="36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kern w:val="36"/>
                <w:sz w:val="24"/>
                <w:szCs w:val="24"/>
              </w:rPr>
              <w:t xml:space="preserve">Provides link from </w:t>
            </w:r>
            <w:r w:rsidR="00BE1173">
              <w:rPr>
                <w:rFonts w:eastAsia="Times New Roman" w:cs="Tahoma"/>
                <w:color w:val="000000"/>
                <w:kern w:val="36"/>
                <w:sz w:val="24"/>
                <w:szCs w:val="24"/>
              </w:rPr>
              <w:t>Dana’s personal story to subsequent development of learning in relation to rounders history and values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</w:t>
            </w:r>
            <w:r w:rsidR="00BE117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</w:tcPr>
          <w:p w:rsidR="00344340" w:rsidRDefault="00F95195" w:rsidP="00344340">
            <w:pPr>
              <w:rPr>
                <w:rFonts w:eastAsia="Times New Roman" w:cs="Times New Roman"/>
                <w:sz w:val="24"/>
                <w:szCs w:val="24"/>
              </w:rPr>
            </w:pPr>
            <w:r w:rsidRPr="00F95195">
              <w:rPr>
                <w:rFonts w:eastAsia="Times New Roman" w:cs="Times New Roman"/>
                <w:sz w:val="24"/>
                <w:szCs w:val="24"/>
              </w:rPr>
              <w:t>Opens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history sequence (slides 7-</w:t>
            </w:r>
            <w:r w:rsidR="0084337C">
              <w:rPr>
                <w:rFonts w:eastAsia="Times New Roman" w:cs="Times New Roman"/>
                <w:sz w:val="24"/>
                <w:szCs w:val="24"/>
              </w:rPr>
              <w:t>1</w:t>
            </w:r>
            <w:r w:rsidR="00212605">
              <w:rPr>
                <w:rFonts w:eastAsia="Times New Roman" w:cs="Times New Roman"/>
                <w:sz w:val="24"/>
                <w:szCs w:val="24"/>
              </w:rPr>
              <w:t>5</w:t>
            </w:r>
            <w:r w:rsidR="0084337C">
              <w:rPr>
                <w:rFonts w:eastAsia="Times New Roman" w:cs="Times New Roman"/>
                <w:sz w:val="24"/>
                <w:szCs w:val="24"/>
              </w:rPr>
              <w:t xml:space="preserve">). Copy of </w:t>
            </w:r>
            <w:r w:rsidR="00AC244C">
              <w:rPr>
                <w:rFonts w:eastAsia="Times New Roman" w:cs="Times New Roman"/>
                <w:sz w:val="24"/>
                <w:szCs w:val="24"/>
              </w:rPr>
              <w:t xml:space="preserve">engraving from 1344 held at the </w:t>
            </w:r>
            <w:proofErr w:type="spellStart"/>
            <w:r w:rsidR="00983C6C">
              <w:rPr>
                <w:rFonts w:eastAsia="Times New Roman" w:cs="Times New Roman"/>
                <w:sz w:val="24"/>
                <w:szCs w:val="24"/>
              </w:rPr>
              <w:t>Bod</w:t>
            </w:r>
            <w:r w:rsidR="00CB1642">
              <w:rPr>
                <w:rFonts w:eastAsia="Times New Roman" w:cs="Times New Roman"/>
                <w:sz w:val="24"/>
                <w:szCs w:val="24"/>
              </w:rPr>
              <w:t>leian</w:t>
            </w:r>
            <w:proofErr w:type="spellEnd"/>
            <w:r w:rsidR="00CB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C244C">
              <w:rPr>
                <w:rFonts w:eastAsia="Times New Roman" w:cs="Times New Roman"/>
                <w:sz w:val="24"/>
                <w:szCs w:val="24"/>
              </w:rPr>
              <w:t xml:space="preserve">Library </w:t>
            </w:r>
            <w:r w:rsidR="00CB1642">
              <w:rPr>
                <w:rFonts w:eastAsia="Times New Roman" w:cs="Times New Roman"/>
                <w:sz w:val="24"/>
                <w:szCs w:val="24"/>
              </w:rPr>
              <w:t>at Oxford University.</w:t>
            </w:r>
            <w:r w:rsidR="00FD5C63">
              <w:rPr>
                <w:rFonts w:eastAsia="Times New Roman" w:cs="Times New Roman"/>
                <w:sz w:val="24"/>
                <w:szCs w:val="24"/>
              </w:rPr>
              <w:t xml:space="preserve"> Generally felt to be first known representation of a game resembling Rounders. </w:t>
            </w:r>
          </w:p>
          <w:p w:rsidR="00C41BFA" w:rsidRPr="007F6C1A" w:rsidRDefault="00C41BFA" w:rsidP="00C41B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‘</w:t>
            </w:r>
            <w:r w:rsidRPr="007F6C1A">
              <w:rPr>
                <w:color w:val="000000" w:themeColor="text1"/>
                <w:sz w:val="24"/>
                <w:szCs w:val="24"/>
              </w:rPr>
              <w:t xml:space="preserve">Think’ </w:t>
            </w:r>
            <w:r>
              <w:rPr>
                <w:color w:val="000000" w:themeColor="text1"/>
                <w:sz w:val="24"/>
                <w:szCs w:val="24"/>
              </w:rPr>
              <w:t xml:space="preserve">evidence interpretation </w:t>
            </w:r>
            <w:r w:rsidRPr="007F6C1A">
              <w:rPr>
                <w:color w:val="000000" w:themeColor="text1"/>
                <w:sz w:val="24"/>
                <w:szCs w:val="24"/>
              </w:rPr>
              <w:t>questions based on the image in slide 7. Note</w:t>
            </w:r>
            <w:r>
              <w:rPr>
                <w:color w:val="000000" w:themeColor="text1"/>
                <w:sz w:val="24"/>
                <w:szCs w:val="24"/>
              </w:rPr>
              <w:t>, for example</w:t>
            </w:r>
            <w:r w:rsidRPr="007F6C1A">
              <w:rPr>
                <w:color w:val="000000" w:themeColor="text1"/>
                <w:sz w:val="24"/>
                <w:szCs w:val="24"/>
              </w:rPr>
              <w:t>:</w:t>
            </w:r>
          </w:p>
          <w:p w:rsidR="00C41BFA" w:rsidRPr="00826433" w:rsidRDefault="00C41BFA" w:rsidP="00C41BFA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6433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Engraving shows woman about to underarm throw a ball towards a man holding a large club which is thinner at the handle end.</w:t>
            </w:r>
          </w:p>
          <w:p w:rsidR="00C41BFA" w:rsidRPr="00973499" w:rsidRDefault="00C41BFA" w:rsidP="00C41BFA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26433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No evidence of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anything resembling a ‘wicket’ so less likely to be a forerunner of cricket or stool ball – other alternatives</w:t>
            </w:r>
          </w:p>
          <w:p w:rsidR="00C41BFA" w:rsidRPr="00973499" w:rsidRDefault="00C41BFA" w:rsidP="00C41BFA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Male and female participant </w:t>
            </w:r>
          </w:p>
          <w:p w:rsidR="00136F8E" w:rsidRPr="00CF3E87" w:rsidRDefault="00C41BFA" w:rsidP="00344340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What </w:t>
            </w:r>
            <w:r w:rsidRPr="00C40226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doesn’t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it show. Other participants? </w:t>
            </w:r>
          </w:p>
          <w:p w:rsidR="001261E5" w:rsidRPr="00F95195" w:rsidRDefault="001261E5" w:rsidP="0034434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 xml:space="preserve">Slide </w:t>
            </w:r>
            <w:r w:rsidR="00CF3E8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44340" w:rsidRDefault="0057218B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Continues</w:t>
            </w:r>
            <w:r w:rsidR="00FF5FA3">
              <w:rPr>
                <w:sz w:val="24"/>
                <w:szCs w:val="24"/>
              </w:rPr>
              <w:t xml:space="preserve"> history sequence with next </w:t>
            </w:r>
            <w:r w:rsidR="00000681">
              <w:rPr>
                <w:sz w:val="24"/>
                <w:szCs w:val="24"/>
              </w:rPr>
              <w:t xml:space="preserve">acknowledged </w:t>
            </w:r>
            <w:r w:rsidR="00E61137">
              <w:rPr>
                <w:sz w:val="24"/>
                <w:szCs w:val="24"/>
              </w:rPr>
              <w:t>reference</w:t>
            </w:r>
            <w:r w:rsidR="00000681">
              <w:rPr>
                <w:sz w:val="24"/>
                <w:szCs w:val="24"/>
              </w:rPr>
              <w:t xml:space="preserve"> to</w:t>
            </w:r>
            <w:r w:rsidR="00E61137">
              <w:rPr>
                <w:sz w:val="24"/>
                <w:szCs w:val="24"/>
              </w:rPr>
              <w:t>/illustration of</w:t>
            </w:r>
            <w:r w:rsidR="00000681">
              <w:rPr>
                <w:sz w:val="24"/>
                <w:szCs w:val="24"/>
              </w:rPr>
              <w:t xml:space="preserve"> the game – noting that ‘Base</w:t>
            </w:r>
            <w:r w:rsidR="00651A7C">
              <w:rPr>
                <w:sz w:val="24"/>
                <w:szCs w:val="24"/>
              </w:rPr>
              <w:t xml:space="preserve"> Ball’ is used at this point. </w:t>
            </w:r>
          </w:p>
          <w:p w:rsidR="00E61137" w:rsidRDefault="00EF3078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r w:rsidR="00B7489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Little</w:t>
            </w:r>
            <w:r w:rsidR="00B74892">
              <w:rPr>
                <w:sz w:val="24"/>
                <w:szCs w:val="24"/>
              </w:rPr>
              <w:t xml:space="preserve"> Pretty Pocket Book</w:t>
            </w:r>
            <w:r>
              <w:rPr>
                <w:sz w:val="24"/>
                <w:szCs w:val="24"/>
              </w:rPr>
              <w:t xml:space="preserve">’, </w:t>
            </w:r>
            <w:r w:rsidR="00B74892">
              <w:rPr>
                <w:sz w:val="24"/>
                <w:szCs w:val="24"/>
              </w:rPr>
              <w:t xml:space="preserve"> published in 1744 </w:t>
            </w:r>
            <w:r w:rsidR="00CD57AB">
              <w:rPr>
                <w:sz w:val="24"/>
                <w:szCs w:val="24"/>
              </w:rPr>
              <w:t>in London by John Newbury</w:t>
            </w:r>
            <w:r w:rsidR="00A61AE6">
              <w:rPr>
                <w:sz w:val="24"/>
                <w:szCs w:val="24"/>
              </w:rPr>
              <w:t>,</w:t>
            </w:r>
            <w:r w:rsidR="00CD57AB">
              <w:rPr>
                <w:sz w:val="24"/>
                <w:szCs w:val="24"/>
              </w:rPr>
              <w:t xml:space="preserve"> is generally regarded as the first children’s book. It contains </w:t>
            </w:r>
            <w:r w:rsidR="001C285E">
              <w:rPr>
                <w:sz w:val="24"/>
                <w:szCs w:val="24"/>
              </w:rPr>
              <w:t>wood</w:t>
            </w:r>
            <w:r w:rsidR="00A61AE6">
              <w:rPr>
                <w:sz w:val="24"/>
                <w:szCs w:val="24"/>
              </w:rPr>
              <w:t xml:space="preserve">cut </w:t>
            </w:r>
            <w:r w:rsidR="001C285E">
              <w:rPr>
                <w:sz w:val="24"/>
                <w:szCs w:val="24"/>
              </w:rPr>
              <w:t xml:space="preserve">illustrations of a number of games from the time and </w:t>
            </w:r>
            <w:r w:rsidR="00606A4F">
              <w:rPr>
                <w:sz w:val="24"/>
                <w:szCs w:val="24"/>
              </w:rPr>
              <w:t>related rhymes</w:t>
            </w:r>
            <w:r w:rsidR="003F08F3">
              <w:rPr>
                <w:sz w:val="24"/>
                <w:szCs w:val="24"/>
              </w:rPr>
              <w:t xml:space="preserve"> using a letter</w:t>
            </w:r>
            <w:r w:rsidR="00A61AE6">
              <w:rPr>
                <w:sz w:val="24"/>
                <w:szCs w:val="24"/>
              </w:rPr>
              <w:t xml:space="preserve"> (in italics)</w:t>
            </w:r>
            <w:r w:rsidR="003F08F3">
              <w:rPr>
                <w:sz w:val="24"/>
                <w:szCs w:val="24"/>
              </w:rPr>
              <w:t xml:space="preserve"> of the alphabet – her</w:t>
            </w:r>
            <w:r w:rsidR="00A61AE6">
              <w:rPr>
                <w:sz w:val="24"/>
                <w:szCs w:val="24"/>
              </w:rPr>
              <w:t>e</w:t>
            </w:r>
            <w:r w:rsidR="003F08F3">
              <w:rPr>
                <w:sz w:val="24"/>
                <w:szCs w:val="24"/>
              </w:rPr>
              <w:t xml:space="preserve"> ‘B’ for Baseball. </w:t>
            </w:r>
          </w:p>
          <w:p w:rsidR="00651A7C" w:rsidRPr="00344340" w:rsidRDefault="00651A7C" w:rsidP="00344340">
            <w:pPr>
              <w:rPr>
                <w:sz w:val="24"/>
                <w:szCs w:val="24"/>
              </w:rPr>
            </w:pP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 xml:space="preserve">Slide </w:t>
            </w:r>
            <w:r w:rsidR="0089286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44340" w:rsidRPr="00344340" w:rsidRDefault="00FE7AFA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Continues history sequence with the </w:t>
            </w:r>
            <w:r w:rsidR="00360EFF">
              <w:rPr>
                <w:sz w:val="24"/>
                <w:szCs w:val="24"/>
              </w:rPr>
              <w:t xml:space="preserve">literary </w:t>
            </w:r>
            <w:r>
              <w:rPr>
                <w:sz w:val="24"/>
                <w:szCs w:val="24"/>
              </w:rPr>
              <w:t xml:space="preserve">reference to ‘baseball’ in introducing </w:t>
            </w:r>
            <w:r w:rsidR="00360EFF">
              <w:rPr>
                <w:sz w:val="24"/>
                <w:szCs w:val="24"/>
              </w:rPr>
              <w:t>Catherine Moreland, the main character in Jane Austen’s ‘</w:t>
            </w:r>
            <w:proofErr w:type="spellStart"/>
            <w:r w:rsidR="000F2B1B">
              <w:rPr>
                <w:sz w:val="24"/>
                <w:szCs w:val="24"/>
              </w:rPr>
              <w:t>Northanger</w:t>
            </w:r>
            <w:proofErr w:type="spellEnd"/>
            <w:r w:rsidR="000F2B1B">
              <w:rPr>
                <w:sz w:val="24"/>
                <w:szCs w:val="24"/>
              </w:rPr>
              <w:t xml:space="preserve"> </w:t>
            </w:r>
            <w:r w:rsidR="00FA4C5A">
              <w:rPr>
                <w:sz w:val="24"/>
                <w:szCs w:val="24"/>
              </w:rPr>
              <w:t>Abbey’, published in 1817.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lastRenderedPageBreak/>
              <w:t xml:space="preserve">Slide </w:t>
            </w:r>
            <w:r w:rsidR="00523AFC">
              <w:rPr>
                <w:sz w:val="24"/>
                <w:szCs w:val="24"/>
              </w:rPr>
              <w:t>1</w:t>
            </w:r>
            <w:r w:rsidR="0089286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D5F32" w:rsidRDefault="001C6DCC">
            <w:pPr>
              <w:divId w:val="1312368758"/>
              <w:rPr>
                <w:rFonts w:eastAsia="Times New Roman" w:cs="Arial"/>
                <w:color w:val="202122"/>
                <w:sz w:val="24"/>
                <w:szCs w:val="24"/>
              </w:rPr>
            </w:pPr>
            <w:r w:rsidRPr="00382D86">
              <w:rPr>
                <w:sz w:val="24"/>
                <w:szCs w:val="24"/>
              </w:rPr>
              <w:t xml:space="preserve">Continues history sequence with extract from </w:t>
            </w:r>
            <w:r w:rsidR="002D5F32" w:rsidRPr="00382D86">
              <w:rPr>
                <w:rFonts w:eastAsia="Times New Roman" w:cs="Arial"/>
                <w:color w:val="202122"/>
                <w:sz w:val="24"/>
                <w:szCs w:val="24"/>
                <w:shd w:val="clear" w:color="auto" w:fill="FFFFFF"/>
              </w:rPr>
              <w:t>William Clar</w:t>
            </w:r>
            <w:r w:rsidR="00D2422C">
              <w:rPr>
                <w:rFonts w:eastAsia="Times New Roman" w:cs="Arial"/>
                <w:color w:val="202122"/>
                <w:sz w:val="24"/>
                <w:szCs w:val="24"/>
                <w:shd w:val="clear" w:color="auto" w:fill="FFFFFF"/>
              </w:rPr>
              <w:t>ke’s</w:t>
            </w:r>
            <w:r w:rsidR="004B4EA8" w:rsidRPr="00382D86">
              <w:rPr>
                <w:rFonts w:eastAsia="Times New Roman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="00826E8F">
              <w:rPr>
                <w:rFonts w:eastAsia="Times New Roman" w:cs="Arial"/>
                <w:color w:val="202122"/>
                <w:sz w:val="24"/>
                <w:szCs w:val="24"/>
                <w:shd w:val="clear" w:color="auto" w:fill="FFFFFF"/>
              </w:rPr>
              <w:t>‘</w:t>
            </w:r>
            <w:r w:rsidR="002D5F32" w:rsidRPr="00382D86">
              <w:rPr>
                <w:rFonts w:eastAsia="Times New Roman" w:cs="Arial"/>
                <w:color w:val="202122"/>
                <w:sz w:val="24"/>
                <w:szCs w:val="24"/>
              </w:rPr>
              <w:t xml:space="preserve">The Boy's Own Book: A Complete </w:t>
            </w:r>
            <w:proofErr w:type="spellStart"/>
            <w:r w:rsidR="002D5F32" w:rsidRPr="00382D86">
              <w:rPr>
                <w:rFonts w:eastAsia="Times New Roman" w:cs="Arial"/>
                <w:color w:val="202122"/>
                <w:sz w:val="24"/>
                <w:szCs w:val="24"/>
              </w:rPr>
              <w:t>Encyclopedia</w:t>
            </w:r>
            <w:proofErr w:type="spellEnd"/>
            <w:r w:rsidR="002D5F32" w:rsidRPr="00382D86">
              <w:rPr>
                <w:rFonts w:eastAsia="Times New Roman" w:cs="Arial"/>
                <w:color w:val="202122"/>
                <w:sz w:val="24"/>
                <w:szCs w:val="24"/>
              </w:rPr>
              <w:t xml:space="preserve"> of all the Diversions, Athletic, Scientific, and Recreative, of Boyhood and Youth</w:t>
            </w:r>
            <w:r w:rsidR="00826E8F">
              <w:rPr>
                <w:rFonts w:eastAsia="Times New Roman" w:cs="Arial"/>
                <w:color w:val="202122"/>
                <w:sz w:val="24"/>
                <w:szCs w:val="24"/>
              </w:rPr>
              <w:t>’</w:t>
            </w:r>
            <w:r w:rsidR="004B4EA8" w:rsidRPr="00382D86">
              <w:rPr>
                <w:rFonts w:eastAsia="Times New Roman" w:cs="Arial"/>
                <w:color w:val="202122"/>
                <w:sz w:val="24"/>
                <w:szCs w:val="24"/>
              </w:rPr>
              <w:t xml:space="preserve">, published in 1828. </w:t>
            </w:r>
            <w:r w:rsidR="00826E8F">
              <w:rPr>
                <w:rFonts w:eastAsia="Times New Roman" w:cs="Arial"/>
                <w:color w:val="202122"/>
                <w:sz w:val="24"/>
                <w:szCs w:val="24"/>
              </w:rPr>
              <w:t>It contained information about sports and pastimes of interest to boys.</w:t>
            </w:r>
          </w:p>
          <w:p w:rsidR="00344340" w:rsidRPr="00343C50" w:rsidRDefault="00826E8F" w:rsidP="00343C50">
            <w:pPr>
              <w:divId w:val="131236875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202122"/>
                <w:sz w:val="24"/>
                <w:szCs w:val="24"/>
              </w:rPr>
              <w:t xml:space="preserve">This refers to ‘Rounders’ by name and outlines the rules of the game </w:t>
            </w:r>
            <w:r w:rsidR="00512716">
              <w:rPr>
                <w:rFonts w:eastAsia="Times New Roman" w:cs="Arial"/>
                <w:color w:val="202122"/>
                <w:sz w:val="24"/>
                <w:szCs w:val="24"/>
              </w:rPr>
              <w:t>at the time.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 1</w:t>
            </w:r>
            <w:r w:rsidR="0089286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44340" w:rsidRDefault="00343C50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‘Think’ </w:t>
            </w:r>
            <w:r w:rsidR="008B499B">
              <w:rPr>
                <w:sz w:val="24"/>
                <w:szCs w:val="24"/>
              </w:rPr>
              <w:t>re</w:t>
            </w:r>
            <w:r w:rsidR="00A43FB1">
              <w:rPr>
                <w:sz w:val="24"/>
                <w:szCs w:val="24"/>
              </w:rPr>
              <w:t>flection</w:t>
            </w:r>
            <w:r w:rsidR="008B499B">
              <w:rPr>
                <w:sz w:val="24"/>
                <w:szCs w:val="24"/>
              </w:rPr>
              <w:t xml:space="preserve"> question based on history </w:t>
            </w:r>
            <w:r w:rsidR="00A43FB1">
              <w:rPr>
                <w:sz w:val="24"/>
                <w:szCs w:val="24"/>
              </w:rPr>
              <w:t>sequence so far. Not</w:t>
            </w:r>
            <w:r w:rsidR="0034427C">
              <w:rPr>
                <w:sz w:val="24"/>
                <w:szCs w:val="24"/>
              </w:rPr>
              <w:t>e, for example:</w:t>
            </w:r>
          </w:p>
          <w:p w:rsidR="0034427C" w:rsidRPr="001A4CA6" w:rsidRDefault="0034427C" w:rsidP="001A4C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4CA6">
              <w:rPr>
                <w:sz w:val="24"/>
                <w:szCs w:val="24"/>
              </w:rPr>
              <w:t>Established over many centuries</w:t>
            </w:r>
          </w:p>
          <w:p w:rsidR="0034427C" w:rsidRPr="001A4CA6" w:rsidRDefault="0034427C" w:rsidP="001A4C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4CA6">
              <w:rPr>
                <w:sz w:val="24"/>
                <w:szCs w:val="24"/>
              </w:rPr>
              <w:t>Played by men and women – inclusivity/equality theme</w:t>
            </w:r>
          </w:p>
          <w:p w:rsidR="0034427C" w:rsidRPr="001A4CA6" w:rsidRDefault="001A4CA6" w:rsidP="001A4C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4CA6">
              <w:rPr>
                <w:sz w:val="24"/>
                <w:szCs w:val="24"/>
              </w:rPr>
              <w:t>Rules in place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Slides 1</w:t>
            </w:r>
            <w:r w:rsidR="002A3B3C">
              <w:rPr>
                <w:sz w:val="24"/>
                <w:szCs w:val="24"/>
              </w:rPr>
              <w:t>2-13</w:t>
            </w:r>
          </w:p>
        </w:tc>
        <w:tc>
          <w:tcPr>
            <w:tcW w:w="0" w:type="auto"/>
          </w:tcPr>
          <w:p w:rsidR="00344340" w:rsidRDefault="00522739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Trace the codification of rules and the establishment of</w:t>
            </w:r>
            <w:r w:rsidR="00FE0E88">
              <w:rPr>
                <w:rFonts w:cs="Times New Roman"/>
                <w:sz w:val="24"/>
                <w:szCs w:val="24"/>
              </w:rPr>
              <w:t xml:space="preserve"> initial</w:t>
            </w:r>
            <w:r>
              <w:rPr>
                <w:rFonts w:cs="Times New Roman"/>
                <w:sz w:val="24"/>
                <w:szCs w:val="24"/>
              </w:rPr>
              <w:t xml:space="preserve"> ‘governing bodies’ ‘To the Present Day</w:t>
            </w:r>
            <w:r w:rsidR="00634A34">
              <w:rPr>
                <w:rFonts w:cs="Times New Roman"/>
                <w:sz w:val="24"/>
                <w:szCs w:val="24"/>
              </w:rPr>
              <w:t>’.</w:t>
            </w:r>
          </w:p>
          <w:p w:rsidR="00634A34" w:rsidRPr="00344340" w:rsidRDefault="00634A34" w:rsidP="003443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</w:t>
            </w:r>
            <w:r w:rsidR="00FE0E88">
              <w:rPr>
                <w:sz w:val="24"/>
                <w:szCs w:val="24"/>
              </w:rPr>
              <w:t>e 1</w:t>
            </w:r>
            <w:r w:rsidR="0005234C">
              <w:rPr>
                <w:sz w:val="24"/>
                <w:szCs w:val="24"/>
              </w:rPr>
              <w:t>4-15</w:t>
            </w:r>
          </w:p>
        </w:tc>
        <w:tc>
          <w:tcPr>
            <w:tcW w:w="0" w:type="auto"/>
          </w:tcPr>
          <w:p w:rsidR="00344340" w:rsidRDefault="00FE0E88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Bring the history </w:t>
            </w:r>
            <w:r w:rsidR="009C7F5D">
              <w:rPr>
                <w:rFonts w:cs="Times New Roman"/>
                <w:sz w:val="24"/>
                <w:szCs w:val="24"/>
              </w:rPr>
              <w:t xml:space="preserve">of Rounders </w:t>
            </w:r>
            <w:r>
              <w:rPr>
                <w:rFonts w:cs="Times New Roman"/>
                <w:sz w:val="24"/>
                <w:szCs w:val="24"/>
              </w:rPr>
              <w:t xml:space="preserve">up to </w:t>
            </w:r>
            <w:r w:rsidR="009C7F5D">
              <w:rPr>
                <w:rFonts w:cs="Times New Roman"/>
                <w:sz w:val="24"/>
                <w:szCs w:val="24"/>
              </w:rPr>
              <w:t xml:space="preserve">the present </w:t>
            </w:r>
            <w:r>
              <w:rPr>
                <w:rFonts w:cs="Times New Roman"/>
                <w:sz w:val="24"/>
                <w:szCs w:val="24"/>
              </w:rPr>
              <w:t xml:space="preserve">by focusing on the establishment and role of Rounders England as the sport’s National Governing Body (NGB). </w:t>
            </w:r>
            <w:r w:rsidR="007B6A62">
              <w:rPr>
                <w:rFonts w:cs="Times New Roman"/>
                <w:sz w:val="24"/>
                <w:szCs w:val="24"/>
              </w:rPr>
              <w:t>See</w:t>
            </w:r>
            <w:r w:rsidR="006645EB">
              <w:rPr>
                <w:rFonts w:cs="Times New Roman"/>
                <w:sz w:val="24"/>
                <w:szCs w:val="24"/>
              </w:rPr>
              <w:t>:</w:t>
            </w:r>
          </w:p>
          <w:p w:rsidR="00376BEF" w:rsidRPr="00344340" w:rsidRDefault="00147597" w:rsidP="00344340">
            <w:pPr>
              <w:rPr>
                <w:rFonts w:cs="Times New Roman"/>
                <w:sz w:val="24"/>
                <w:szCs w:val="24"/>
              </w:rPr>
            </w:pPr>
            <w:r w:rsidRPr="00147597">
              <w:rPr>
                <w:rFonts w:cs="Times New Roman"/>
                <w:sz w:val="24"/>
                <w:szCs w:val="24"/>
              </w:rPr>
              <w:t>https://www.roundersengland.co.uk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 xml:space="preserve">Slide </w:t>
            </w:r>
            <w:r w:rsidR="00147597">
              <w:rPr>
                <w:sz w:val="24"/>
                <w:szCs w:val="24"/>
              </w:rPr>
              <w:t>1</w:t>
            </w:r>
            <w:r w:rsidR="00523CB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44340" w:rsidRPr="00344340" w:rsidRDefault="00E10D73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‘Think’ reflection question based on</w:t>
            </w:r>
            <w:r w:rsidR="00ED468B">
              <w:rPr>
                <w:rFonts w:cs="Times New Roman"/>
                <w:sz w:val="24"/>
                <w:szCs w:val="24"/>
              </w:rPr>
              <w:t xml:space="preserve"> </w:t>
            </w:r>
            <w:r w:rsidR="00CF1F2B">
              <w:rPr>
                <w:rFonts w:cs="Times New Roman"/>
                <w:sz w:val="24"/>
                <w:szCs w:val="24"/>
              </w:rPr>
              <w:t xml:space="preserve">Rounders England’s </w:t>
            </w:r>
            <w:r w:rsidR="0052654C">
              <w:rPr>
                <w:rFonts w:cs="Times New Roman"/>
                <w:sz w:val="24"/>
                <w:szCs w:val="24"/>
              </w:rPr>
              <w:t>mission statement of ‘Connecting People through Rounders’.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</w:t>
            </w:r>
            <w:r w:rsidR="003A40A4">
              <w:rPr>
                <w:sz w:val="24"/>
                <w:szCs w:val="24"/>
              </w:rPr>
              <w:t>s 1</w:t>
            </w:r>
            <w:r w:rsidR="00523CBD">
              <w:rPr>
                <w:sz w:val="24"/>
                <w:szCs w:val="24"/>
              </w:rPr>
              <w:t>7-18</w:t>
            </w:r>
          </w:p>
        </w:tc>
        <w:tc>
          <w:tcPr>
            <w:tcW w:w="0" w:type="auto"/>
          </w:tcPr>
          <w:p w:rsidR="00344340" w:rsidRPr="00344340" w:rsidRDefault="00777DFC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Segue into </w:t>
            </w:r>
            <w:r w:rsidR="00961F9A">
              <w:rPr>
                <w:rFonts w:cs="Times New Roman"/>
                <w:sz w:val="24"/>
                <w:szCs w:val="24"/>
              </w:rPr>
              <w:t>Rounders England education strategy focused on Rounders Values.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</w:t>
            </w:r>
            <w:r w:rsidR="00C30983">
              <w:rPr>
                <w:sz w:val="24"/>
                <w:szCs w:val="24"/>
              </w:rPr>
              <w:t xml:space="preserve"> </w:t>
            </w:r>
            <w:r w:rsidR="00523CBD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44340" w:rsidRDefault="00B249E3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Lists </w:t>
            </w:r>
            <w:r w:rsidR="00B358D5">
              <w:rPr>
                <w:rFonts w:cs="Times New Roman"/>
                <w:sz w:val="24"/>
                <w:szCs w:val="24"/>
              </w:rPr>
              <w:t xml:space="preserve">the five </w:t>
            </w:r>
            <w:r>
              <w:rPr>
                <w:rFonts w:cs="Times New Roman"/>
                <w:sz w:val="24"/>
                <w:szCs w:val="24"/>
              </w:rPr>
              <w:t>Rounders Values</w:t>
            </w:r>
            <w:r w:rsidR="00C53ECF">
              <w:rPr>
                <w:rFonts w:cs="Times New Roman"/>
                <w:sz w:val="24"/>
                <w:szCs w:val="24"/>
              </w:rPr>
              <w:t xml:space="preserve">. </w:t>
            </w:r>
            <w:r w:rsidR="00344340" w:rsidRPr="003443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67658" w:rsidRPr="00B93645" w:rsidRDefault="00667658" w:rsidP="00344340">
            <w:pP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If using the resource in either Key Stage 2</w:t>
            </w:r>
            <w:r w:rsidR="008902E8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or </w:t>
            </w:r>
            <w:r w:rsidR="00E6204D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 as part of a</w:t>
            </w:r>
            <w:r w:rsidR="000F3E9A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practical</w:t>
            </w:r>
            <w:r w:rsidR="00E6204D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PE </w:t>
            </w:r>
            <w:r w:rsidR="004435F6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programme, Rounders England have produced </w:t>
            </w:r>
            <w:r w:rsidR="0041783F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two age specific </w:t>
            </w:r>
            <w:r w:rsidR="00EA50A9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Values and practical activity resources. These are available as separate </w:t>
            </w:r>
            <w:r w:rsidR="004B20DA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PDFs to d</w:t>
            </w:r>
            <w:r w:rsidR="00B650EC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ownload. The resources define each of the </w:t>
            </w:r>
            <w:r w:rsidR="00B358D5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five </w:t>
            </w:r>
            <w:r w:rsidR="00B650EC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Values</w:t>
            </w:r>
            <w:r w:rsidR="00AD0ACB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in age-specific terms. </w:t>
            </w:r>
            <w:r w:rsidR="00B650EC" w:rsidRPr="00B9364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 2</w:t>
            </w:r>
            <w:r w:rsidR="0031347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44340" w:rsidRPr="00344340" w:rsidRDefault="002B14DA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‘Think’ reflection questions based on the Values</w:t>
            </w:r>
            <w:r w:rsidR="00BE378F">
              <w:rPr>
                <w:rFonts w:cs="Times New Roman"/>
                <w:sz w:val="24"/>
                <w:szCs w:val="24"/>
              </w:rPr>
              <w:t xml:space="preserve"> which can be considered separately or in conjunction with the Rounders Eng</w:t>
            </w:r>
            <w:r w:rsidR="008B584F">
              <w:rPr>
                <w:rFonts w:cs="Times New Roman"/>
                <w:sz w:val="24"/>
                <w:szCs w:val="24"/>
              </w:rPr>
              <w:t>land resources referenced above.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</w:t>
            </w:r>
            <w:r w:rsidR="005A1B16">
              <w:rPr>
                <w:sz w:val="24"/>
                <w:szCs w:val="24"/>
              </w:rPr>
              <w:t>s</w:t>
            </w:r>
          </w:p>
          <w:p w:rsidR="008B584F" w:rsidRPr="00344340" w:rsidRDefault="008B584F" w:rsidP="0034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3471">
              <w:rPr>
                <w:sz w:val="24"/>
                <w:szCs w:val="24"/>
              </w:rPr>
              <w:t>1-22</w:t>
            </w:r>
          </w:p>
        </w:tc>
        <w:tc>
          <w:tcPr>
            <w:tcW w:w="0" w:type="auto"/>
          </w:tcPr>
          <w:p w:rsidR="00344340" w:rsidRPr="00344340" w:rsidRDefault="002D1392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‘Thinking it Through’ – two </w:t>
            </w:r>
            <w:r w:rsidR="0071267D">
              <w:rPr>
                <w:rFonts w:cs="Times New Roman"/>
                <w:sz w:val="24"/>
                <w:szCs w:val="24"/>
              </w:rPr>
              <w:t xml:space="preserve">options for </w:t>
            </w:r>
            <w:r>
              <w:rPr>
                <w:rFonts w:cs="Times New Roman"/>
                <w:sz w:val="24"/>
                <w:szCs w:val="24"/>
              </w:rPr>
              <w:t>summative</w:t>
            </w:r>
            <w:r w:rsidR="0071267D">
              <w:rPr>
                <w:rFonts w:cs="Times New Roman"/>
                <w:sz w:val="24"/>
                <w:szCs w:val="24"/>
              </w:rPr>
              <w:t xml:space="preserve"> activities drawing together the </w:t>
            </w:r>
            <w:r w:rsidR="00745440">
              <w:rPr>
                <w:rFonts w:cs="Times New Roman"/>
                <w:sz w:val="24"/>
                <w:szCs w:val="24"/>
              </w:rPr>
              <w:t xml:space="preserve">twin focus on history and values.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44340" w:rsidRPr="00344340" w:rsidTr="00FF6400">
        <w:tc>
          <w:tcPr>
            <w:tcW w:w="0" w:type="auto"/>
          </w:tcPr>
          <w:p w:rsidR="00344340" w:rsidRPr="00344340" w:rsidRDefault="00344340" w:rsidP="00344340">
            <w:pPr>
              <w:rPr>
                <w:sz w:val="24"/>
                <w:szCs w:val="24"/>
              </w:rPr>
            </w:pPr>
            <w:r w:rsidRPr="00344340">
              <w:rPr>
                <w:sz w:val="24"/>
                <w:szCs w:val="24"/>
              </w:rPr>
              <w:t>Slide 2</w:t>
            </w:r>
            <w:r w:rsidR="0031347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44340" w:rsidRPr="00344340" w:rsidRDefault="00181F8E" w:rsidP="0034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Information on further links</w:t>
            </w:r>
            <w:r w:rsidR="00C45B50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</w:tbl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rFonts w:cs="Times New Roman"/>
          <w:sz w:val="24"/>
          <w:szCs w:val="24"/>
        </w:rPr>
      </w:pPr>
    </w:p>
    <w:p w:rsidR="00344340" w:rsidRPr="00344340" w:rsidRDefault="00344340" w:rsidP="00344340">
      <w:pPr>
        <w:rPr>
          <w:sz w:val="24"/>
          <w:szCs w:val="24"/>
        </w:rPr>
      </w:pPr>
    </w:p>
    <w:p w:rsidR="00344340" w:rsidRDefault="00344340"/>
    <w:sectPr w:rsidR="00344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2117"/>
    <w:multiLevelType w:val="hybridMultilevel"/>
    <w:tmpl w:val="6FC4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676D"/>
    <w:multiLevelType w:val="hybridMultilevel"/>
    <w:tmpl w:val="3544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1578"/>
    <w:multiLevelType w:val="hybridMultilevel"/>
    <w:tmpl w:val="B37C3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7017"/>
    <w:multiLevelType w:val="hybridMultilevel"/>
    <w:tmpl w:val="CDDC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22752"/>
    <w:multiLevelType w:val="hybridMultilevel"/>
    <w:tmpl w:val="41F2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40"/>
    <w:rsid w:val="00000681"/>
    <w:rsid w:val="00047B1C"/>
    <w:rsid w:val="0005234C"/>
    <w:rsid w:val="00073F74"/>
    <w:rsid w:val="000A450A"/>
    <w:rsid w:val="000A74CF"/>
    <w:rsid w:val="000A7A31"/>
    <w:rsid w:val="000F2B1B"/>
    <w:rsid w:val="000F3E9A"/>
    <w:rsid w:val="001261E5"/>
    <w:rsid w:val="00136F8E"/>
    <w:rsid w:val="00147597"/>
    <w:rsid w:val="00152C8D"/>
    <w:rsid w:val="00181F8E"/>
    <w:rsid w:val="001A4CA6"/>
    <w:rsid w:val="001C285E"/>
    <w:rsid w:val="001C6DCC"/>
    <w:rsid w:val="0020784D"/>
    <w:rsid w:val="00212605"/>
    <w:rsid w:val="00255FBD"/>
    <w:rsid w:val="00256366"/>
    <w:rsid w:val="002A3B3C"/>
    <w:rsid w:val="002B14DA"/>
    <w:rsid w:val="002D1392"/>
    <w:rsid w:val="002D5F32"/>
    <w:rsid w:val="002F0E4E"/>
    <w:rsid w:val="00313471"/>
    <w:rsid w:val="00343578"/>
    <w:rsid w:val="00343C50"/>
    <w:rsid w:val="0034427C"/>
    <w:rsid w:val="00344340"/>
    <w:rsid w:val="00360EFF"/>
    <w:rsid w:val="0036127E"/>
    <w:rsid w:val="00376121"/>
    <w:rsid w:val="00376BEF"/>
    <w:rsid w:val="00382D86"/>
    <w:rsid w:val="00383872"/>
    <w:rsid w:val="003A40A4"/>
    <w:rsid w:val="003C559D"/>
    <w:rsid w:val="003E74E1"/>
    <w:rsid w:val="003F08F3"/>
    <w:rsid w:val="0041783F"/>
    <w:rsid w:val="004435F6"/>
    <w:rsid w:val="00494EBE"/>
    <w:rsid w:val="004B20DA"/>
    <w:rsid w:val="004B20E2"/>
    <w:rsid w:val="004B4EA8"/>
    <w:rsid w:val="00504DBD"/>
    <w:rsid w:val="00512716"/>
    <w:rsid w:val="00522739"/>
    <w:rsid w:val="00523AFC"/>
    <w:rsid w:val="00523CBD"/>
    <w:rsid w:val="0052654C"/>
    <w:rsid w:val="0057218B"/>
    <w:rsid w:val="00574432"/>
    <w:rsid w:val="00583184"/>
    <w:rsid w:val="005A1B16"/>
    <w:rsid w:val="005C56B0"/>
    <w:rsid w:val="005D00B8"/>
    <w:rsid w:val="005F0EF9"/>
    <w:rsid w:val="00602B67"/>
    <w:rsid w:val="00606A4F"/>
    <w:rsid w:val="0062681D"/>
    <w:rsid w:val="00634A34"/>
    <w:rsid w:val="00651A7C"/>
    <w:rsid w:val="006645EB"/>
    <w:rsid w:val="00667658"/>
    <w:rsid w:val="00670EED"/>
    <w:rsid w:val="0068461C"/>
    <w:rsid w:val="0071267D"/>
    <w:rsid w:val="0071283F"/>
    <w:rsid w:val="0073237F"/>
    <w:rsid w:val="00745440"/>
    <w:rsid w:val="00775B79"/>
    <w:rsid w:val="00777DFC"/>
    <w:rsid w:val="007B5B64"/>
    <w:rsid w:val="007B6A62"/>
    <w:rsid w:val="007D12A5"/>
    <w:rsid w:val="007E2494"/>
    <w:rsid w:val="007F6C1A"/>
    <w:rsid w:val="00826433"/>
    <w:rsid w:val="00826E8F"/>
    <w:rsid w:val="0084337C"/>
    <w:rsid w:val="008902E8"/>
    <w:rsid w:val="00892864"/>
    <w:rsid w:val="008B4603"/>
    <w:rsid w:val="008B499B"/>
    <w:rsid w:val="008B584F"/>
    <w:rsid w:val="00911A30"/>
    <w:rsid w:val="00934B03"/>
    <w:rsid w:val="00961F9A"/>
    <w:rsid w:val="00973499"/>
    <w:rsid w:val="00975344"/>
    <w:rsid w:val="00983C6C"/>
    <w:rsid w:val="009C7F5D"/>
    <w:rsid w:val="009E4265"/>
    <w:rsid w:val="009F4C78"/>
    <w:rsid w:val="00A34EAD"/>
    <w:rsid w:val="00A43FB1"/>
    <w:rsid w:val="00A61AE6"/>
    <w:rsid w:val="00A84925"/>
    <w:rsid w:val="00AC244C"/>
    <w:rsid w:val="00AD0ACB"/>
    <w:rsid w:val="00AE0A5F"/>
    <w:rsid w:val="00B00DD5"/>
    <w:rsid w:val="00B249E3"/>
    <w:rsid w:val="00B358D5"/>
    <w:rsid w:val="00B37879"/>
    <w:rsid w:val="00B51CAD"/>
    <w:rsid w:val="00B650EC"/>
    <w:rsid w:val="00B74892"/>
    <w:rsid w:val="00B92B02"/>
    <w:rsid w:val="00B93645"/>
    <w:rsid w:val="00BC6B7D"/>
    <w:rsid w:val="00BE1173"/>
    <w:rsid w:val="00BE378F"/>
    <w:rsid w:val="00BE6697"/>
    <w:rsid w:val="00C30983"/>
    <w:rsid w:val="00C40226"/>
    <w:rsid w:val="00C41BFA"/>
    <w:rsid w:val="00C45B50"/>
    <w:rsid w:val="00C5010D"/>
    <w:rsid w:val="00C53ECF"/>
    <w:rsid w:val="00CA2185"/>
    <w:rsid w:val="00CB1642"/>
    <w:rsid w:val="00CD3E4D"/>
    <w:rsid w:val="00CD57AB"/>
    <w:rsid w:val="00CF1F2B"/>
    <w:rsid w:val="00CF3E87"/>
    <w:rsid w:val="00D2422C"/>
    <w:rsid w:val="00D90B6D"/>
    <w:rsid w:val="00DA2AD3"/>
    <w:rsid w:val="00DA2C1B"/>
    <w:rsid w:val="00DC65D8"/>
    <w:rsid w:val="00E10D73"/>
    <w:rsid w:val="00E61137"/>
    <w:rsid w:val="00E6204D"/>
    <w:rsid w:val="00EA50A9"/>
    <w:rsid w:val="00ED468B"/>
    <w:rsid w:val="00EF3078"/>
    <w:rsid w:val="00F01C70"/>
    <w:rsid w:val="00F110F5"/>
    <w:rsid w:val="00F53E74"/>
    <w:rsid w:val="00F95195"/>
    <w:rsid w:val="00FA4C5A"/>
    <w:rsid w:val="00FA7B90"/>
    <w:rsid w:val="00FB4C64"/>
    <w:rsid w:val="00FC163D"/>
    <w:rsid w:val="00FD5C63"/>
    <w:rsid w:val="00FD75CC"/>
    <w:rsid w:val="00FE0E88"/>
    <w:rsid w:val="00FE7AFA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881AD"/>
  <w15:chartTrackingRefBased/>
  <w15:docId w15:val="{99679AEB-6561-8142-9F70-20E2835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44340"/>
    <w:pPr>
      <w:spacing w:after="45"/>
    </w:pPr>
    <w:rPr>
      <w:rFonts w:ascii=".AppleSystemUIFont" w:hAnsi=".AppleSystemUIFont" w:cs="Times New Roman"/>
      <w:sz w:val="46"/>
      <w:szCs w:val="46"/>
    </w:rPr>
  </w:style>
  <w:style w:type="paragraph" w:customStyle="1" w:styleId="p2">
    <w:name w:val="p2"/>
    <w:basedOn w:val="Normal"/>
    <w:rsid w:val="00344340"/>
    <w:rPr>
      <w:rFonts w:ascii=".AppleSystemUIFont" w:hAnsi=".AppleSystemUIFont" w:cs="Times New Roman"/>
      <w:sz w:val="28"/>
      <w:szCs w:val="28"/>
    </w:rPr>
  </w:style>
  <w:style w:type="paragraph" w:customStyle="1" w:styleId="p3">
    <w:name w:val="p3"/>
    <w:basedOn w:val="Normal"/>
    <w:rsid w:val="00344340"/>
    <w:rPr>
      <w:rFonts w:ascii=".AppleSystemUIFont" w:hAnsi=".AppleSystemUIFont" w:cs="Times New Roman"/>
      <w:sz w:val="28"/>
      <w:szCs w:val="28"/>
    </w:rPr>
  </w:style>
  <w:style w:type="character" w:customStyle="1" w:styleId="s2">
    <w:name w:val="s2"/>
    <w:basedOn w:val="DefaultParagraphFont"/>
    <w:rsid w:val="00344340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DefaultParagraphFont"/>
    <w:rsid w:val="00344340"/>
  </w:style>
  <w:style w:type="table" w:styleId="TableGrid">
    <w:name w:val="Table Grid"/>
    <w:basedOn w:val="TableNormal"/>
    <w:uiPriority w:val="39"/>
    <w:rsid w:val="0034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340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3443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5F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-gb.facebook.com/RMBCEvents/videos/women-of-hope-millie-bright-dana-abdulkarim/7358477073233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Peaple</dc:creator>
  <cp:keywords/>
  <dc:description/>
  <cp:lastModifiedBy>Derek Peaple</cp:lastModifiedBy>
  <cp:revision>126</cp:revision>
  <dcterms:created xsi:type="dcterms:W3CDTF">2021-08-06T07:30:00Z</dcterms:created>
  <dcterms:modified xsi:type="dcterms:W3CDTF">2021-08-17T14:30:00Z</dcterms:modified>
</cp:coreProperties>
</file>